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7A" w:rsidRPr="00FD5FC8" w:rsidRDefault="008F26B3" w:rsidP="00FD5FC8">
      <w:pPr>
        <w:bidi/>
        <w:spacing w:after="12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D5FC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مصفوفة </w:t>
      </w:r>
      <w:r w:rsidR="00FC4A79" w:rsidRPr="00FD5FC8">
        <w:rPr>
          <w:rFonts w:ascii="Simplified Arabic" w:hAnsi="Simplified Arabic" w:cs="Simplified Arabic"/>
          <w:b/>
          <w:bCs/>
          <w:sz w:val="28"/>
          <w:szCs w:val="28"/>
          <w:rtl/>
        </w:rPr>
        <w:t>حوكمة العلاقات وإدارة المسؤوليات</w:t>
      </w:r>
    </w:p>
    <w:p w:rsidR="003D2C5F" w:rsidRPr="00FD5FC8" w:rsidRDefault="003411C6" w:rsidP="00FD5FC8">
      <w:pPr>
        <w:bidi/>
        <w:spacing w:after="120" w:line="240" w:lineRule="auto"/>
        <w:rPr>
          <w:rFonts w:ascii="Simplified Arabic" w:hAnsi="Simplified Arabic" w:cs="Simplified Arabic"/>
          <w:rtl/>
        </w:rPr>
      </w:pPr>
      <w:r w:rsidRPr="00FD5FC8">
        <w:rPr>
          <w:rFonts w:ascii="Simplified Arabic" w:hAnsi="Simplified Arabic" w:cs="Simplified Arabic"/>
          <w:rtl/>
        </w:rPr>
        <w:t xml:space="preserve">تستند حوكمة العلاقات في جامعة الحسين بن طلال إلى توزيع واضح للأدوار والمسؤوليات، بما يضمن التكامل بين </w:t>
      </w:r>
      <w:r w:rsidRPr="00FD5FC8">
        <w:rPr>
          <w:rFonts w:ascii="Simplified Arabic" w:hAnsi="Simplified Arabic" w:cs="Simplified Arabic"/>
          <w:b/>
          <w:bCs/>
          <w:rtl/>
        </w:rPr>
        <w:t>المستويات القيادية، والقرار الأكاديمي، والتنفيذ الميداني</w:t>
      </w:r>
      <w:r w:rsidRPr="00FD5FC8">
        <w:rPr>
          <w:rFonts w:ascii="Simplified Arabic" w:hAnsi="Simplified Arabic" w:cs="Simplified Arabic"/>
        </w:rPr>
        <w:t xml:space="preserve">. </w:t>
      </w:r>
      <w:r w:rsidRPr="00FD5FC8">
        <w:rPr>
          <w:rFonts w:ascii="Simplified Arabic" w:hAnsi="Simplified Arabic" w:cs="Simplified Arabic"/>
          <w:rtl/>
        </w:rPr>
        <w:t>تهدف هذه المصفوفة إلى تنظيم روابط العمل مع الشركاء داخل الجامعة وخارجها، لضمان تنفيذ الخطة وفق مبادئ الشفافية، وبما يخدم تطلعات الطلبة والمجتمع المحلي</w:t>
      </w:r>
      <w:r w:rsidRPr="00FD5FC8">
        <w:rPr>
          <w:rFonts w:ascii="Simplified Arabic" w:hAnsi="Simplified Arabic" w:cs="Simplified Arabic"/>
        </w:rPr>
        <w:t>.</w:t>
      </w:r>
    </w:p>
    <w:p w:rsidR="003D2C5F" w:rsidRPr="00FD5FC8" w:rsidRDefault="003D2C5F" w:rsidP="00FD5FC8">
      <w:pPr>
        <w:bidi/>
        <w:spacing w:after="120" w:line="240" w:lineRule="auto"/>
        <w:rPr>
          <w:rFonts w:ascii="Simplified Arabic" w:hAnsi="Simplified Arabic" w:cs="Simplified Arabic"/>
          <w:b/>
          <w:bCs/>
          <w:rtl/>
        </w:rPr>
      </w:pPr>
      <w:r w:rsidRPr="00FD5FC8">
        <w:rPr>
          <w:rFonts w:ascii="Simplified Arabic" w:hAnsi="Simplified Arabic" w:cs="Simplified Arabic"/>
          <w:b/>
          <w:bCs/>
          <w:rtl/>
        </w:rPr>
        <w:t>أولاً: أصحاب العلاقة الداخليون</w:t>
      </w:r>
    </w:p>
    <w:p w:rsidR="00FC4A79" w:rsidRPr="00FD5FC8" w:rsidRDefault="00FC4A79" w:rsidP="00FD5FC8">
      <w:pPr>
        <w:bidi/>
        <w:spacing w:after="120" w:line="240" w:lineRule="auto"/>
        <w:rPr>
          <w:rFonts w:ascii="Simplified Arabic" w:hAnsi="Simplified Arabic" w:cs="Simplified Arabic"/>
          <w:rtl/>
          <w:lang w:bidi="ar-JO"/>
        </w:rPr>
      </w:pPr>
      <w:r w:rsidRPr="00FD5FC8">
        <w:rPr>
          <w:rFonts w:ascii="Simplified Arabic" w:hAnsi="Simplified Arabic" w:cs="Simplified Arabic"/>
          <w:rtl/>
        </w:rPr>
        <w:t xml:space="preserve">تمثل هذه المصفوفة </w:t>
      </w:r>
      <w:r w:rsidRPr="00FD5FC8">
        <w:rPr>
          <w:rFonts w:ascii="Simplified Arabic" w:hAnsi="Simplified Arabic" w:cs="Simplified Arabic"/>
          <w:b/>
          <w:bCs/>
          <w:rtl/>
        </w:rPr>
        <w:t>المحرك العملياتي</w:t>
      </w:r>
      <w:r w:rsidRPr="00FD5FC8">
        <w:rPr>
          <w:rFonts w:ascii="Simplified Arabic" w:hAnsi="Simplified Arabic" w:cs="Simplified Arabic"/>
          <w:rtl/>
        </w:rPr>
        <w:t xml:space="preserve"> للجامعة، حيث تُحدد الأدوار القيادية والتشريعية والتنفيذية اللازمة لضمان تدفق القرارات من مستوى التخطيط السيادي إلى مستوى التنفيذ الميداني، بما يضمن تكامل الأداء بين المجالس الحاكمه والكليات</w:t>
      </w:r>
      <w:r w:rsidR="003411C6" w:rsidRPr="00FD5FC8">
        <w:rPr>
          <w:rFonts w:ascii="Simplified Arabic" w:hAnsi="Simplified Arabic" w:cs="Simplified Arabic"/>
          <w:rtl/>
          <w:lang w:bidi="ar-JO"/>
        </w:rPr>
        <w:t xml:space="preserve">. </w:t>
      </w:r>
    </w:p>
    <w:tbl>
      <w:tblPr>
        <w:tblStyle w:val="aa"/>
        <w:bidiVisual/>
        <w:tblW w:w="5000" w:type="pct"/>
        <w:tblLook w:val="04A0"/>
      </w:tblPr>
      <w:tblGrid>
        <w:gridCol w:w="2967"/>
        <w:gridCol w:w="1243"/>
        <w:gridCol w:w="4646"/>
      </w:tblGrid>
      <w:tr w:rsidR="00596D24" w:rsidRPr="00FD5FC8" w:rsidTr="00FD5FC8">
        <w:tc>
          <w:tcPr>
            <w:tcW w:w="1675" w:type="pct"/>
            <w:shd w:val="clear" w:color="auto" w:fill="auto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صاحب العلاقة</w:t>
            </w:r>
          </w:p>
        </w:tc>
        <w:tc>
          <w:tcPr>
            <w:tcW w:w="702" w:type="pct"/>
            <w:shd w:val="clear" w:color="auto" w:fill="auto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طبيعة الدور </w:t>
            </w:r>
          </w:p>
        </w:tc>
        <w:tc>
          <w:tcPr>
            <w:tcW w:w="2623" w:type="pct"/>
            <w:shd w:val="clear" w:color="auto" w:fill="auto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المهام الرئيسية في الخطة التنفيذية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مجلس الأمناء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سيادي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استراتيجي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45"/>
                <w:rFonts w:ascii="Simplified Arabic" w:eastAsiaTheme="majorEastAsia" w:hAnsi="Simplified Arabic" w:cs="Simplified Arabic"/>
                <w:rtl/>
              </w:rPr>
              <w:t xml:space="preserve">إقرار السياسات </w:t>
            </w:r>
            <w:proofErr w:type="spellStart"/>
            <w:r w:rsidRPr="00FD5FC8">
              <w:rPr>
                <w:rStyle w:val="citation-145"/>
                <w:rFonts w:ascii="Simplified Arabic" w:eastAsiaTheme="majorEastAsia" w:hAnsi="Simplified Arabic" w:cs="Simplified Arabic"/>
                <w:rtl/>
              </w:rPr>
              <w:t>الكبرى،</w:t>
            </w:r>
            <w:proofErr w:type="spellEnd"/>
            <w:r w:rsidRPr="00FD5FC8">
              <w:rPr>
                <w:rStyle w:val="citation-145"/>
                <w:rFonts w:ascii="Simplified Arabic" w:eastAsiaTheme="majorEastAsia" w:hAnsi="Simplified Arabic" w:cs="Simplified Arabic"/>
                <w:rtl/>
              </w:rPr>
              <w:t xml:space="preserve"> المصادقة على </w:t>
            </w:r>
            <w:proofErr w:type="spellStart"/>
            <w:r w:rsidRPr="00FD5FC8">
              <w:rPr>
                <w:rStyle w:val="citation-145"/>
                <w:rFonts w:ascii="Simplified Arabic" w:eastAsiaTheme="majorEastAsia" w:hAnsi="Simplified Arabic" w:cs="Simplified Arabic"/>
                <w:rtl/>
              </w:rPr>
              <w:t>الموازنة،</w:t>
            </w:r>
            <w:proofErr w:type="spellEnd"/>
            <w:r w:rsidRPr="00FD5FC8">
              <w:rPr>
                <w:rStyle w:val="citation-145"/>
                <w:rFonts w:ascii="Simplified Arabic" w:eastAsiaTheme="majorEastAsia" w:hAnsi="Simplified Arabic" w:cs="Simplified Arabic"/>
                <w:rtl/>
              </w:rPr>
              <w:t xml:space="preserve"> ودعم تمويل المشاريع الاستثمارية الكبرى (مثل فندق كلية </w:t>
            </w:r>
            <w:proofErr w:type="spellStart"/>
            <w:r w:rsidRPr="00FD5FC8">
              <w:rPr>
                <w:rStyle w:val="citation-145"/>
                <w:rFonts w:ascii="Simplified Arabic" w:eastAsiaTheme="majorEastAsia" w:hAnsi="Simplified Arabic" w:cs="Simplified Arabic"/>
                <w:rtl/>
              </w:rPr>
              <w:t>البترا)</w:t>
            </w:r>
            <w:proofErr w:type="spellEnd"/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رئاسة الجامعة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قيادي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تنفيذي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44"/>
                <w:rFonts w:ascii="Simplified Arabic" w:eastAsiaTheme="majorEastAsia" w:hAnsi="Simplified Arabic" w:cs="Simplified Arabic"/>
                <w:rtl/>
              </w:rPr>
              <w:t xml:space="preserve">الإشراف المباشر على تحقيق </w:t>
            </w:r>
            <w:proofErr w:type="spellStart"/>
            <w:r w:rsidRPr="00FD5FC8">
              <w:rPr>
                <w:rStyle w:val="citation-144"/>
                <w:rFonts w:ascii="Simplified Arabic" w:eastAsiaTheme="majorEastAsia" w:hAnsi="Simplified Arabic" w:cs="Simplified Arabic"/>
                <w:rtl/>
              </w:rPr>
              <w:t>الأهداف،</w:t>
            </w:r>
            <w:proofErr w:type="spellEnd"/>
            <w:r w:rsidRPr="00FD5FC8">
              <w:rPr>
                <w:rStyle w:val="citation-144"/>
                <w:rFonts w:ascii="Simplified Arabic" w:eastAsiaTheme="majorEastAsia" w:hAnsi="Simplified Arabic" w:cs="Simplified Arabic"/>
                <w:rtl/>
              </w:rPr>
              <w:t xml:space="preserve"> توفير الموارد المالية </w:t>
            </w:r>
            <w:proofErr w:type="spellStart"/>
            <w:r w:rsidRPr="00FD5FC8">
              <w:rPr>
                <w:rStyle w:val="citation-144"/>
                <w:rFonts w:ascii="Simplified Arabic" w:eastAsiaTheme="majorEastAsia" w:hAnsi="Simplified Arabic" w:cs="Simplified Arabic"/>
                <w:rtl/>
              </w:rPr>
              <w:t>والتقنية،</w:t>
            </w:r>
            <w:proofErr w:type="spellEnd"/>
            <w:r w:rsidRPr="00FD5FC8">
              <w:rPr>
                <w:rStyle w:val="citation-144"/>
                <w:rFonts w:ascii="Simplified Arabic" w:eastAsiaTheme="majorEastAsia" w:hAnsi="Simplified Arabic" w:cs="Simplified Arabic"/>
                <w:rtl/>
              </w:rPr>
              <w:t xml:space="preserve"> وتوقيع اتفاقيات الشراكة الدولية والمحلية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مجلس العمداء والجامعة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تشريعي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تشاركي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43"/>
                <w:rFonts w:ascii="Simplified Arabic" w:eastAsiaTheme="majorEastAsia" w:hAnsi="Simplified Arabic" w:cs="Simplified Arabic"/>
                <w:rtl/>
              </w:rPr>
              <w:t xml:space="preserve">إقرار الخطط الدراسية </w:t>
            </w:r>
            <w:proofErr w:type="spellStart"/>
            <w:r w:rsidRPr="00FD5FC8">
              <w:rPr>
                <w:rStyle w:val="citation-143"/>
                <w:rFonts w:ascii="Simplified Arabic" w:eastAsiaTheme="majorEastAsia" w:hAnsi="Simplified Arabic" w:cs="Simplified Arabic"/>
                <w:rtl/>
              </w:rPr>
              <w:t>المحدثة،</w:t>
            </w:r>
            <w:proofErr w:type="spellEnd"/>
            <w:r w:rsidRPr="00FD5FC8">
              <w:rPr>
                <w:rStyle w:val="citation-143"/>
                <w:rFonts w:ascii="Simplified Arabic" w:eastAsiaTheme="majorEastAsia" w:hAnsi="Simplified Arabic" w:cs="Simplified Arabic"/>
                <w:rtl/>
              </w:rPr>
              <w:t xml:space="preserve"> رسم سياسات البحث </w:t>
            </w:r>
            <w:proofErr w:type="spellStart"/>
            <w:r w:rsidRPr="00FD5FC8">
              <w:rPr>
                <w:rStyle w:val="citation-143"/>
                <w:rFonts w:ascii="Simplified Arabic" w:eastAsiaTheme="majorEastAsia" w:hAnsi="Simplified Arabic" w:cs="Simplified Arabic"/>
                <w:rtl/>
              </w:rPr>
              <w:t>العلمي،</w:t>
            </w:r>
            <w:proofErr w:type="spellEnd"/>
            <w:r w:rsidRPr="00FD5FC8">
              <w:rPr>
                <w:rStyle w:val="citation-143"/>
                <w:rFonts w:ascii="Simplified Arabic" w:eastAsiaTheme="majorEastAsia" w:hAnsi="Simplified Arabic" w:cs="Simplified Arabic"/>
                <w:rtl/>
              </w:rPr>
              <w:t xml:space="preserve"> وربط مخرجات التعليم باحتياجات سوق العمل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نواب الرئيس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إشرافي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تنسيقي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 xml:space="preserve">متابعة تنفيذ المحاور </w:t>
            </w:r>
            <w:proofErr w:type="spellStart"/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>(الأكاديمية،</w:t>
            </w:r>
            <w:proofErr w:type="spellEnd"/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 xml:space="preserve"> </w:t>
            </w:r>
            <w:proofErr w:type="spellStart"/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>الإدارية،</w:t>
            </w:r>
            <w:proofErr w:type="spellEnd"/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 xml:space="preserve"> الجودة</w:t>
            </w:r>
            <w:proofErr w:type="spellStart"/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>)</w:t>
            </w:r>
            <w:proofErr w:type="spellEnd"/>
            <w:r w:rsidRPr="00FD5FC8">
              <w:rPr>
                <w:rStyle w:val="citation-142"/>
                <w:rFonts w:ascii="Simplified Arabic" w:eastAsiaTheme="majorEastAsia" w:hAnsi="Simplified Arabic" w:cs="Simplified Arabic"/>
                <w:rtl/>
              </w:rPr>
              <w:t xml:space="preserve"> وضمان التنسيق العابر للوحدات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العمادات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 والكليات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تشغيلي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أكاديمي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 xml:space="preserve">التنفيذ المباشر </w:t>
            </w:r>
            <w:proofErr w:type="spellStart"/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>للبرامج،</w:t>
            </w:r>
            <w:proofErr w:type="spellEnd"/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 xml:space="preserve"> مراجعة الخطط </w:t>
            </w:r>
            <w:proofErr w:type="spellStart"/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>الدراسية،</w:t>
            </w:r>
            <w:proofErr w:type="spellEnd"/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 xml:space="preserve"> إدارة الكادر </w:t>
            </w:r>
            <w:proofErr w:type="spellStart"/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>التدريسي،</w:t>
            </w:r>
            <w:proofErr w:type="spellEnd"/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 xml:space="preserve"> وتحقيق مؤشرات الأداء</w:t>
            </w:r>
            <w:r w:rsidRPr="00FD5FC8">
              <w:rPr>
                <w:rStyle w:val="citation-141"/>
                <w:rFonts w:ascii="Simplified Arabic" w:eastAsiaTheme="majorEastAsia" w:hAnsi="Simplified Arabic" w:cs="Simplified Arabic"/>
              </w:rPr>
              <w:t xml:space="preserve"> (KPIs) </w:t>
            </w:r>
            <w:r w:rsidRPr="00FD5FC8">
              <w:rPr>
                <w:rStyle w:val="citation-141"/>
                <w:rFonts w:ascii="Simplified Arabic" w:eastAsiaTheme="majorEastAsia" w:hAnsi="Simplified Arabic" w:cs="Simplified Arabic"/>
                <w:rtl/>
              </w:rPr>
              <w:t>الخاصة بكل كلية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مركز التطوير الأكاديمي وضمان الجودة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فني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رقابي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proofErr w:type="spellStart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>مأسسة</w:t>
            </w:r>
            <w:proofErr w:type="spellEnd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 xml:space="preserve"> معايير </w:t>
            </w:r>
            <w:proofErr w:type="spellStart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>الجودة،</w:t>
            </w:r>
            <w:proofErr w:type="spellEnd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 xml:space="preserve"> متابعة </w:t>
            </w:r>
            <w:proofErr w:type="spellStart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>الاعتمادات</w:t>
            </w:r>
            <w:proofErr w:type="spellEnd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 xml:space="preserve"> الدولية</w:t>
            </w:r>
            <w:r w:rsidRPr="00FD5FC8">
              <w:rPr>
                <w:rStyle w:val="citation-139"/>
                <w:rFonts w:ascii="Simplified Arabic" w:eastAsiaTheme="majorEastAsia" w:hAnsi="Simplified Arabic" w:cs="Simplified Arabic"/>
              </w:rPr>
              <w:t xml:space="preserve"> (ABET, ASIIN)</w:t>
            </w:r>
            <w:proofErr w:type="spellStart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>،</w:t>
            </w:r>
            <w:proofErr w:type="spellEnd"/>
            <w:r w:rsidRPr="00FD5FC8">
              <w:rPr>
                <w:rStyle w:val="citation-139"/>
                <w:rFonts w:ascii="Simplified Arabic" w:eastAsiaTheme="majorEastAsia" w:hAnsi="Simplified Arabic" w:cs="Simplified Arabic"/>
                <w:rtl/>
              </w:rPr>
              <w:t xml:space="preserve"> وتسكين المؤهلات في الإطار الوطني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عمادة البحث العلمي والدراسات العليا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بحثي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تنظيمي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40"/>
                <w:rFonts w:ascii="Simplified Arabic" w:hAnsi="Simplified Arabic" w:cs="Simplified Arabic"/>
                <w:rtl/>
              </w:rPr>
              <w:t>إدارة سياسات النشر العالمي</w:t>
            </w:r>
            <w:r w:rsidRPr="00FD5FC8">
              <w:rPr>
                <w:rStyle w:val="citation-140"/>
                <w:rFonts w:ascii="Simplified Arabic" w:hAnsi="Simplified Arabic" w:cs="Simplified Arabic"/>
              </w:rPr>
              <w:t xml:space="preserve"> (Scopus)</w:t>
            </w:r>
            <w:proofErr w:type="spellStart"/>
            <w:r w:rsidRPr="00FD5FC8">
              <w:rPr>
                <w:rStyle w:val="citation-140"/>
                <w:rFonts w:ascii="Simplified Arabic" w:hAnsi="Simplified Arabic" w:cs="Simplified Arabic"/>
                <w:rtl/>
              </w:rPr>
              <w:t>،</w:t>
            </w:r>
            <w:proofErr w:type="spellEnd"/>
            <w:r w:rsidRPr="00FD5FC8">
              <w:rPr>
                <w:rStyle w:val="citation-140"/>
                <w:rFonts w:ascii="Simplified Arabic" w:hAnsi="Simplified Arabic" w:cs="Simplified Arabic"/>
                <w:rtl/>
              </w:rPr>
              <w:t xml:space="preserve"> تطوير برامج الدراسات </w:t>
            </w:r>
            <w:proofErr w:type="spellStart"/>
            <w:r w:rsidRPr="00FD5FC8">
              <w:rPr>
                <w:rStyle w:val="citation-140"/>
                <w:rFonts w:ascii="Simplified Arabic" w:hAnsi="Simplified Arabic" w:cs="Simplified Arabic"/>
                <w:rtl/>
              </w:rPr>
              <w:t>العليا،</w:t>
            </w:r>
            <w:proofErr w:type="spellEnd"/>
            <w:r w:rsidRPr="00FD5FC8">
              <w:rPr>
                <w:rStyle w:val="citation-140"/>
                <w:rFonts w:ascii="Simplified Arabic" w:hAnsi="Simplified Arabic" w:cs="Simplified Arabic"/>
                <w:rtl/>
              </w:rPr>
              <w:t xml:space="preserve"> وتحفيز الابتكار البحثي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المراكز المساندة 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(الحاسوب،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الإبداع،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الاستشارات،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...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فني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خدماتي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8"/>
                <w:rFonts w:ascii="Simplified Arabic" w:hAnsi="Simplified Arabic" w:cs="Simplified Arabic"/>
                <w:rtl/>
              </w:rPr>
              <w:t xml:space="preserve">قيادة التحول </w:t>
            </w:r>
            <w:proofErr w:type="spellStart"/>
            <w:r w:rsidRPr="00FD5FC8">
              <w:rPr>
                <w:rStyle w:val="citation-138"/>
                <w:rFonts w:ascii="Simplified Arabic" w:hAnsi="Simplified Arabic" w:cs="Simplified Arabic"/>
                <w:rtl/>
              </w:rPr>
              <w:t>الرقمي،</w:t>
            </w:r>
            <w:proofErr w:type="spellEnd"/>
            <w:r w:rsidRPr="00FD5FC8">
              <w:rPr>
                <w:rStyle w:val="citation-138"/>
                <w:rFonts w:ascii="Simplified Arabic" w:hAnsi="Simplified Arabic" w:cs="Simplified Arabic"/>
                <w:rtl/>
              </w:rPr>
              <w:t xml:space="preserve"> دعم المشاريع الريادية </w:t>
            </w:r>
            <w:proofErr w:type="spellStart"/>
            <w:r w:rsidRPr="00FD5FC8">
              <w:rPr>
                <w:rStyle w:val="citation-138"/>
                <w:rFonts w:ascii="Simplified Arabic" w:hAnsi="Simplified Arabic" w:cs="Simplified Arabic"/>
                <w:rtl/>
              </w:rPr>
              <w:t>للطلبة،</w:t>
            </w:r>
            <w:proofErr w:type="spellEnd"/>
            <w:r w:rsidRPr="00FD5FC8">
              <w:rPr>
                <w:rStyle w:val="citation-138"/>
                <w:rFonts w:ascii="Simplified Arabic" w:hAnsi="Simplified Arabic" w:cs="Simplified Arabic"/>
                <w:rtl/>
              </w:rPr>
              <w:t xml:space="preserve"> وتقديم الخدمات التدريبية والاستشارية للمجتمع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الوحدات الإدارية 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(المالية،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 الموارد 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البشرية،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 xml:space="preserve"> العلاقات 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العامة،</w:t>
            </w:r>
            <w:proofErr w:type="spellEnd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...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lastRenderedPageBreak/>
              <w:t>لوجستي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</w:t>
            </w:r>
            <w:r w:rsidRPr="00FD5FC8">
              <w:rPr>
                <w:rFonts w:ascii="Simplified Arabic" w:hAnsi="Simplified Arabic" w:cs="Simplified Arabic"/>
                <w:rtl/>
              </w:rPr>
              <w:lastRenderedPageBreak/>
              <w:t>إجرائي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7"/>
                <w:rFonts w:ascii="Simplified Arabic" w:eastAsiaTheme="majorEastAsia" w:hAnsi="Simplified Arabic" w:cs="Simplified Arabic"/>
                <w:rtl/>
              </w:rPr>
              <w:lastRenderedPageBreak/>
              <w:t xml:space="preserve">ضبط </w:t>
            </w:r>
            <w:proofErr w:type="spellStart"/>
            <w:r w:rsidRPr="00FD5FC8">
              <w:rPr>
                <w:rStyle w:val="citation-137"/>
                <w:rFonts w:ascii="Simplified Arabic" w:eastAsiaTheme="majorEastAsia" w:hAnsi="Simplified Arabic" w:cs="Simplified Arabic"/>
                <w:rtl/>
              </w:rPr>
              <w:t>النفقات،</w:t>
            </w:r>
            <w:proofErr w:type="spellEnd"/>
            <w:r w:rsidRPr="00FD5FC8">
              <w:rPr>
                <w:rStyle w:val="citation-137"/>
                <w:rFonts w:ascii="Simplified Arabic" w:eastAsiaTheme="majorEastAsia" w:hAnsi="Simplified Arabic" w:cs="Simplified Arabic"/>
                <w:rtl/>
              </w:rPr>
              <w:t xml:space="preserve"> توفير الكفاءات </w:t>
            </w:r>
            <w:proofErr w:type="spellStart"/>
            <w:r w:rsidRPr="00FD5FC8">
              <w:rPr>
                <w:rStyle w:val="citation-137"/>
                <w:rFonts w:ascii="Simplified Arabic" w:eastAsiaTheme="majorEastAsia" w:hAnsi="Simplified Arabic" w:cs="Simplified Arabic"/>
                <w:rtl/>
              </w:rPr>
              <w:t>الأكاديمية،</w:t>
            </w:r>
            <w:proofErr w:type="spellEnd"/>
            <w:r w:rsidRPr="00FD5FC8">
              <w:rPr>
                <w:rStyle w:val="citation-137"/>
                <w:rFonts w:ascii="Simplified Arabic" w:eastAsiaTheme="majorEastAsia" w:hAnsi="Simplified Arabic" w:cs="Simplified Arabic"/>
                <w:rtl/>
              </w:rPr>
              <w:t xml:space="preserve"> وتسويق هوية </w:t>
            </w:r>
            <w:r w:rsidRPr="00FD5FC8">
              <w:rPr>
                <w:rStyle w:val="citation-137"/>
                <w:rFonts w:ascii="Simplified Arabic" w:eastAsiaTheme="majorEastAsia" w:hAnsi="Simplified Arabic" w:cs="Simplified Arabic"/>
                <w:rtl/>
              </w:rPr>
              <w:lastRenderedPageBreak/>
              <w:t>الجامعة وبرامجها محلياً ودولياً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أعضاء هيئة التدريس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>تنفيذي ميداني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6"/>
                <w:rFonts w:ascii="Simplified Arabic" w:hAnsi="Simplified Arabic" w:cs="Simplified Arabic"/>
                <w:rtl/>
              </w:rPr>
              <w:t xml:space="preserve">الأداة المباشرة لتحقيق جودة </w:t>
            </w:r>
            <w:proofErr w:type="spellStart"/>
            <w:r w:rsidRPr="00FD5FC8">
              <w:rPr>
                <w:rStyle w:val="citation-136"/>
                <w:rFonts w:ascii="Simplified Arabic" w:hAnsi="Simplified Arabic" w:cs="Simplified Arabic"/>
                <w:rtl/>
              </w:rPr>
              <w:t>التدريس،</w:t>
            </w:r>
            <w:proofErr w:type="spellEnd"/>
            <w:r w:rsidRPr="00FD5FC8">
              <w:rPr>
                <w:rStyle w:val="citation-136"/>
                <w:rFonts w:ascii="Simplified Arabic" w:hAnsi="Simplified Arabic" w:cs="Simplified Arabic"/>
                <w:rtl/>
              </w:rPr>
              <w:t xml:space="preserve"> النشر العلمي </w:t>
            </w:r>
            <w:proofErr w:type="spellStart"/>
            <w:r w:rsidRPr="00FD5FC8">
              <w:rPr>
                <w:rStyle w:val="citation-136"/>
                <w:rFonts w:ascii="Simplified Arabic" w:hAnsi="Simplified Arabic" w:cs="Simplified Arabic"/>
                <w:rtl/>
              </w:rPr>
              <w:t>المتميز،</w:t>
            </w:r>
            <w:proofErr w:type="spellEnd"/>
            <w:r w:rsidRPr="00FD5FC8">
              <w:rPr>
                <w:rStyle w:val="citation-136"/>
                <w:rFonts w:ascii="Simplified Arabic" w:hAnsi="Simplified Arabic" w:cs="Simplified Arabic"/>
                <w:rtl/>
              </w:rPr>
              <w:t xml:space="preserve"> والمشاركة في مشاريع خدمة المجتمع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596D24" w:rsidRPr="00FD5FC8" w:rsidTr="00FD5FC8">
        <w:tc>
          <w:tcPr>
            <w:tcW w:w="1675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الطلبة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96D24" w:rsidRPr="00FD5FC8" w:rsidRDefault="00596D24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>المستفيد المحوري</w:t>
            </w:r>
          </w:p>
        </w:tc>
        <w:tc>
          <w:tcPr>
            <w:tcW w:w="2623" w:type="pct"/>
            <w:shd w:val="clear" w:color="auto" w:fill="auto"/>
            <w:vAlign w:val="center"/>
          </w:tcPr>
          <w:p w:rsidR="00596D24" w:rsidRPr="00FD5FC8" w:rsidRDefault="00596D24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5"/>
                <w:rFonts w:ascii="Simplified Arabic" w:hAnsi="Simplified Arabic" w:cs="Simplified Arabic"/>
                <w:rtl/>
              </w:rPr>
              <w:t xml:space="preserve">المشاركة في نوادي </w:t>
            </w:r>
            <w:proofErr w:type="spellStart"/>
            <w:r w:rsidRPr="00FD5FC8">
              <w:rPr>
                <w:rStyle w:val="citation-135"/>
                <w:rFonts w:ascii="Simplified Arabic" w:hAnsi="Simplified Arabic" w:cs="Simplified Arabic"/>
                <w:rtl/>
              </w:rPr>
              <w:t>الطلبة،</w:t>
            </w:r>
            <w:proofErr w:type="spellEnd"/>
            <w:r w:rsidRPr="00FD5FC8">
              <w:rPr>
                <w:rStyle w:val="citation-135"/>
                <w:rFonts w:ascii="Simplified Arabic" w:hAnsi="Simplified Arabic" w:cs="Simplified Arabic"/>
                <w:rtl/>
              </w:rPr>
              <w:t xml:space="preserve"> تقييم جودة العملية </w:t>
            </w:r>
            <w:proofErr w:type="spellStart"/>
            <w:r w:rsidRPr="00FD5FC8">
              <w:rPr>
                <w:rStyle w:val="citation-135"/>
                <w:rFonts w:ascii="Simplified Arabic" w:hAnsi="Simplified Arabic" w:cs="Simplified Arabic"/>
                <w:rtl/>
              </w:rPr>
              <w:t>التعليمية،</w:t>
            </w:r>
            <w:proofErr w:type="spellEnd"/>
            <w:r w:rsidRPr="00FD5FC8">
              <w:rPr>
                <w:rStyle w:val="citation-135"/>
                <w:rFonts w:ascii="Simplified Arabic" w:hAnsi="Simplified Arabic" w:cs="Simplified Arabic"/>
                <w:rtl/>
              </w:rPr>
              <w:t xml:space="preserve"> والمنافسة في سوق العمل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</w:tbl>
    <w:p w:rsidR="00596D24" w:rsidRPr="00FD5FC8" w:rsidRDefault="00596D24" w:rsidP="00FD5FC8">
      <w:pPr>
        <w:bidi/>
        <w:spacing w:after="120" w:line="240" w:lineRule="auto"/>
        <w:rPr>
          <w:rFonts w:ascii="Simplified Arabic" w:hAnsi="Simplified Arabic" w:cs="Simplified Arabic"/>
          <w:b/>
          <w:bCs/>
          <w:rtl/>
        </w:rPr>
      </w:pPr>
    </w:p>
    <w:p w:rsidR="005D18D6" w:rsidRPr="00FD5FC8" w:rsidRDefault="003411C6" w:rsidP="00FD5FC8">
      <w:pPr>
        <w:bidi/>
        <w:spacing w:after="120" w:line="240" w:lineRule="auto"/>
        <w:rPr>
          <w:rFonts w:ascii="Simplified Arabic" w:hAnsi="Simplified Arabic" w:cs="Simplified Arabic"/>
          <w:b/>
          <w:bCs/>
          <w:rtl/>
        </w:rPr>
      </w:pPr>
      <w:proofErr w:type="spellStart"/>
      <w:r w:rsidRPr="00FD5FC8">
        <w:rPr>
          <w:rFonts w:ascii="Simplified Arabic" w:hAnsi="Simplified Arabic" w:cs="Simplified Arabic"/>
          <w:b/>
          <w:bCs/>
          <w:rtl/>
        </w:rPr>
        <w:t>ثانيا:</w:t>
      </w:r>
      <w:proofErr w:type="spellEnd"/>
      <w:r w:rsidRPr="00FD5FC8">
        <w:rPr>
          <w:rFonts w:ascii="Simplified Arabic" w:hAnsi="Simplified Arabic" w:cs="Simplified Arabic"/>
          <w:b/>
          <w:bCs/>
          <w:rtl/>
        </w:rPr>
        <w:t xml:space="preserve"> </w:t>
      </w:r>
      <w:r w:rsidR="005D18D6" w:rsidRPr="00FD5FC8">
        <w:rPr>
          <w:rFonts w:ascii="Simplified Arabic" w:hAnsi="Simplified Arabic" w:cs="Simplified Arabic"/>
          <w:b/>
          <w:bCs/>
          <w:rtl/>
        </w:rPr>
        <w:t>مصفوفة أصحاب العلاقة ال</w:t>
      </w:r>
      <w:r w:rsidR="00FC4A79" w:rsidRPr="00FD5FC8">
        <w:rPr>
          <w:rFonts w:ascii="Simplified Arabic" w:hAnsi="Simplified Arabic" w:cs="Simplified Arabic"/>
          <w:b/>
          <w:bCs/>
          <w:rtl/>
        </w:rPr>
        <w:t xml:space="preserve">خارجيين </w:t>
      </w:r>
    </w:p>
    <w:p w:rsidR="00FC4A79" w:rsidRPr="00FD5FC8" w:rsidRDefault="00FC4A79" w:rsidP="00FD5FC8">
      <w:pPr>
        <w:bidi/>
        <w:spacing w:after="120" w:line="240" w:lineRule="auto"/>
        <w:rPr>
          <w:rFonts w:ascii="Simplified Arabic" w:hAnsi="Simplified Arabic" w:cs="Simplified Arabic"/>
        </w:rPr>
      </w:pPr>
      <w:r w:rsidRPr="00FD5FC8">
        <w:rPr>
          <w:rFonts w:ascii="Simplified Arabic" w:hAnsi="Simplified Arabic" w:cs="Simplified Arabic"/>
          <w:rtl/>
        </w:rPr>
        <w:t xml:space="preserve">تُعنى هذه المصفوفة بضبط </w:t>
      </w:r>
      <w:r w:rsidRPr="00FD5FC8">
        <w:rPr>
          <w:rFonts w:ascii="Simplified Arabic" w:hAnsi="Simplified Arabic" w:cs="Simplified Arabic"/>
          <w:b/>
          <w:bCs/>
          <w:rtl/>
        </w:rPr>
        <w:t>علاقات الارتباط والامتثال</w:t>
      </w:r>
      <w:r w:rsidRPr="00FD5FC8">
        <w:rPr>
          <w:rFonts w:ascii="Simplified Arabic" w:hAnsi="Simplified Arabic" w:cs="Simplified Arabic"/>
          <w:rtl/>
        </w:rPr>
        <w:t xml:space="preserve"> مع البيئة المحيطة، حيث تحدد مرجعيات الاعتماد والجودة والجهات المشترعة، بالإضافة إلى شركاء القيمة الذين يقيسون أثر مخرجات الجامعة في سوق العمل والتنمية المجتمعية</w:t>
      </w:r>
      <w:r w:rsidR="003411C6" w:rsidRPr="00FD5FC8">
        <w:rPr>
          <w:rFonts w:ascii="Simplified Arabic" w:hAnsi="Simplified Arabic" w:cs="Simplified Arabic"/>
          <w:rtl/>
        </w:rPr>
        <w:t xml:space="preserve">. </w:t>
      </w:r>
    </w:p>
    <w:tbl>
      <w:tblPr>
        <w:tblStyle w:val="aa"/>
        <w:bidiVisual/>
        <w:tblW w:w="5000" w:type="pct"/>
        <w:tblLook w:val="04A0"/>
      </w:tblPr>
      <w:tblGrid>
        <w:gridCol w:w="2113"/>
        <w:gridCol w:w="1422"/>
        <w:gridCol w:w="5321"/>
      </w:tblGrid>
      <w:tr w:rsidR="006252ED" w:rsidRPr="00FD5FC8" w:rsidTr="00FD5FC8">
        <w:tc>
          <w:tcPr>
            <w:tcW w:w="1193" w:type="pct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صاحب العلاقة</w:t>
            </w:r>
          </w:p>
        </w:tc>
        <w:tc>
          <w:tcPr>
            <w:tcW w:w="803" w:type="pct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طبيعة الدور</w:t>
            </w:r>
          </w:p>
        </w:tc>
        <w:tc>
          <w:tcPr>
            <w:tcW w:w="3004" w:type="pct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المهام الرئيسية في الخطة التنفيذية</w:t>
            </w:r>
          </w:p>
        </w:tc>
      </w:tr>
      <w:tr w:rsidR="006252ED" w:rsidRPr="00FD5FC8" w:rsidTr="00FD5FC8">
        <w:tc>
          <w:tcPr>
            <w:tcW w:w="119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وزارة التعليم العالي</w:t>
            </w:r>
          </w:p>
        </w:tc>
        <w:tc>
          <w:tcPr>
            <w:tcW w:w="80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تشريعي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تمويلي</w:t>
            </w:r>
          </w:p>
        </w:tc>
        <w:tc>
          <w:tcPr>
            <w:tcW w:w="3004" w:type="pct"/>
            <w:vAlign w:val="center"/>
          </w:tcPr>
          <w:p w:rsidR="006252ED" w:rsidRPr="00FD5FC8" w:rsidRDefault="006252ED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3"/>
                <w:rFonts w:ascii="Simplified Arabic" w:hAnsi="Simplified Arabic" w:cs="Simplified Arabic"/>
                <w:rtl/>
              </w:rPr>
              <w:t xml:space="preserve">رسم السياسات </w:t>
            </w:r>
            <w:proofErr w:type="spellStart"/>
            <w:r w:rsidRPr="00FD5FC8">
              <w:rPr>
                <w:rStyle w:val="citation-133"/>
                <w:rFonts w:ascii="Simplified Arabic" w:hAnsi="Simplified Arabic" w:cs="Simplified Arabic"/>
                <w:rtl/>
              </w:rPr>
              <w:t>العامة،</w:t>
            </w:r>
            <w:proofErr w:type="spellEnd"/>
            <w:r w:rsidRPr="00FD5FC8">
              <w:rPr>
                <w:rStyle w:val="citation-133"/>
                <w:rFonts w:ascii="Simplified Arabic" w:hAnsi="Simplified Arabic" w:cs="Simplified Arabic"/>
                <w:rtl/>
              </w:rPr>
              <w:t xml:space="preserve"> الموافقة على التخصصات </w:t>
            </w:r>
            <w:proofErr w:type="spellStart"/>
            <w:r w:rsidRPr="00FD5FC8">
              <w:rPr>
                <w:rStyle w:val="citation-133"/>
                <w:rFonts w:ascii="Simplified Arabic" w:hAnsi="Simplified Arabic" w:cs="Simplified Arabic"/>
                <w:rtl/>
              </w:rPr>
              <w:t>النوعية،</w:t>
            </w:r>
            <w:proofErr w:type="spellEnd"/>
            <w:r w:rsidRPr="00FD5FC8">
              <w:rPr>
                <w:rStyle w:val="citation-133"/>
                <w:rFonts w:ascii="Simplified Arabic" w:hAnsi="Simplified Arabic" w:cs="Simplified Arabic"/>
                <w:rtl/>
              </w:rPr>
              <w:t xml:space="preserve"> وتقديم الدعم المالي للمشاريع الاستراتيجية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6252ED" w:rsidRPr="00FD5FC8" w:rsidTr="00FD5FC8">
        <w:tc>
          <w:tcPr>
            <w:tcW w:w="119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هيئة الاعتماد</w:t>
            </w:r>
            <w:r w:rsidRPr="00FD5FC8">
              <w:rPr>
                <w:rFonts w:ascii="Simplified Arabic" w:hAnsi="Simplified Arabic" w:cs="Simplified Arabic"/>
                <w:b/>
                <w:bCs/>
              </w:rPr>
              <w:t xml:space="preserve"> (HEAC)</w:t>
            </w:r>
          </w:p>
        </w:tc>
        <w:tc>
          <w:tcPr>
            <w:tcW w:w="80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رقابية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معيارية</w:t>
            </w:r>
          </w:p>
        </w:tc>
        <w:tc>
          <w:tcPr>
            <w:tcW w:w="3004" w:type="pct"/>
            <w:vAlign w:val="center"/>
          </w:tcPr>
          <w:p w:rsidR="006252ED" w:rsidRPr="00FD5FC8" w:rsidRDefault="006252ED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2"/>
                <w:rFonts w:ascii="Simplified Arabic" w:hAnsi="Simplified Arabic" w:cs="Simplified Arabic"/>
                <w:rtl/>
              </w:rPr>
              <w:t>التحقق من مطابقة البرامج لمعايير الاعتماد الوطنية وتسكين المؤهلات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6252ED" w:rsidRPr="00FD5FC8" w:rsidTr="00FD5FC8">
        <w:tc>
          <w:tcPr>
            <w:tcW w:w="119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سوق العمل والقطاع الخاص</w:t>
            </w:r>
          </w:p>
        </w:tc>
        <w:tc>
          <w:tcPr>
            <w:tcW w:w="80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تشاركي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استشاري</w:t>
            </w:r>
          </w:p>
        </w:tc>
        <w:tc>
          <w:tcPr>
            <w:tcW w:w="3004" w:type="pct"/>
            <w:vAlign w:val="center"/>
          </w:tcPr>
          <w:p w:rsidR="006252ED" w:rsidRPr="00FD5FC8" w:rsidRDefault="006252ED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1"/>
                <w:rFonts w:ascii="Simplified Arabic" w:hAnsi="Simplified Arabic" w:cs="Simplified Arabic"/>
                <w:rtl/>
              </w:rPr>
              <w:t xml:space="preserve">تقديم التغذية الراجعة حول المهارات </w:t>
            </w:r>
            <w:proofErr w:type="spellStart"/>
            <w:r w:rsidRPr="00FD5FC8">
              <w:rPr>
                <w:rStyle w:val="citation-131"/>
                <w:rFonts w:ascii="Simplified Arabic" w:hAnsi="Simplified Arabic" w:cs="Simplified Arabic"/>
                <w:rtl/>
              </w:rPr>
              <w:t>المطلوبة،</w:t>
            </w:r>
            <w:proofErr w:type="spellEnd"/>
            <w:r w:rsidRPr="00FD5FC8">
              <w:rPr>
                <w:rStyle w:val="citation-131"/>
                <w:rFonts w:ascii="Simplified Arabic" w:hAnsi="Simplified Arabic" w:cs="Simplified Arabic"/>
                <w:rtl/>
              </w:rPr>
              <w:t xml:space="preserve"> وتوفير فرص التدريب والتعلم التطبيقي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6252ED" w:rsidRPr="00FD5FC8" w:rsidTr="00FD5FC8">
        <w:tc>
          <w:tcPr>
            <w:tcW w:w="119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المجتمع المحلي (معان والجنوب</w:t>
            </w:r>
            <w:proofErr w:type="spellStart"/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0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اجتماعي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تنموي</w:t>
            </w:r>
          </w:p>
        </w:tc>
        <w:tc>
          <w:tcPr>
            <w:tcW w:w="3004" w:type="pct"/>
            <w:vAlign w:val="center"/>
          </w:tcPr>
          <w:p w:rsidR="006252ED" w:rsidRPr="00FD5FC8" w:rsidRDefault="006252ED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30"/>
                <w:rFonts w:ascii="Simplified Arabic" w:hAnsi="Simplified Arabic" w:cs="Simplified Arabic"/>
                <w:rtl/>
              </w:rPr>
              <w:t>الشريك في حل المشكلات عبر البحوث التطبيقية والمبادرات التنموية والمسؤولية الاجتماعية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6252ED" w:rsidRPr="00FD5FC8" w:rsidTr="00FD5FC8">
        <w:tc>
          <w:tcPr>
            <w:tcW w:w="119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الشركاء الدوليون والجهات المانحة</w:t>
            </w:r>
          </w:p>
        </w:tc>
        <w:tc>
          <w:tcPr>
            <w:tcW w:w="80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 xml:space="preserve">تمويلي </w:t>
            </w:r>
            <w:proofErr w:type="spellStart"/>
            <w:r w:rsidRPr="00FD5FC8">
              <w:rPr>
                <w:rFonts w:ascii="Simplified Arabic" w:hAnsi="Simplified Arabic" w:cs="Simplified Arabic"/>
                <w:rtl/>
              </w:rPr>
              <w:t>/</w:t>
            </w:r>
            <w:proofErr w:type="spellEnd"/>
            <w:r w:rsidRPr="00FD5FC8">
              <w:rPr>
                <w:rFonts w:ascii="Simplified Arabic" w:hAnsi="Simplified Arabic" w:cs="Simplified Arabic"/>
                <w:rtl/>
              </w:rPr>
              <w:t xml:space="preserve"> علمي</w:t>
            </w:r>
          </w:p>
        </w:tc>
        <w:tc>
          <w:tcPr>
            <w:tcW w:w="3004" w:type="pct"/>
            <w:vAlign w:val="center"/>
          </w:tcPr>
          <w:p w:rsidR="006252ED" w:rsidRPr="00FD5FC8" w:rsidRDefault="006252ED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29"/>
                <w:rFonts w:ascii="Simplified Arabic" w:hAnsi="Simplified Arabic" w:cs="Simplified Arabic"/>
                <w:rtl/>
              </w:rPr>
              <w:t>دعم مشاريع التبادل الطلابي</w:t>
            </w:r>
            <w:r w:rsidRPr="00FD5FC8">
              <w:rPr>
                <w:rStyle w:val="citation-129"/>
                <w:rFonts w:ascii="Simplified Arabic" w:hAnsi="Simplified Arabic" w:cs="Simplified Arabic"/>
              </w:rPr>
              <w:t xml:space="preserve"> (Erasmus)</w:t>
            </w:r>
            <w:proofErr w:type="spellStart"/>
            <w:r w:rsidRPr="00FD5FC8">
              <w:rPr>
                <w:rStyle w:val="citation-129"/>
                <w:rFonts w:ascii="Simplified Arabic" w:hAnsi="Simplified Arabic" w:cs="Simplified Arabic"/>
                <w:rtl/>
              </w:rPr>
              <w:t>،</w:t>
            </w:r>
            <w:proofErr w:type="spellEnd"/>
            <w:r w:rsidRPr="00FD5FC8">
              <w:rPr>
                <w:rStyle w:val="citation-129"/>
                <w:rFonts w:ascii="Simplified Arabic" w:hAnsi="Simplified Arabic" w:cs="Simplified Arabic"/>
                <w:rtl/>
              </w:rPr>
              <w:t xml:space="preserve"> وتمويل البحوث </w:t>
            </w:r>
            <w:proofErr w:type="spellStart"/>
            <w:r w:rsidRPr="00FD5FC8">
              <w:rPr>
                <w:rStyle w:val="citation-129"/>
                <w:rFonts w:ascii="Simplified Arabic" w:hAnsi="Simplified Arabic" w:cs="Simplified Arabic"/>
                <w:rtl/>
              </w:rPr>
              <w:t>المشتركة،</w:t>
            </w:r>
            <w:proofErr w:type="spellEnd"/>
            <w:r w:rsidRPr="00FD5FC8">
              <w:rPr>
                <w:rStyle w:val="citation-129"/>
                <w:rFonts w:ascii="Simplified Arabic" w:hAnsi="Simplified Arabic" w:cs="Simplified Arabic"/>
                <w:rtl/>
              </w:rPr>
              <w:t xml:space="preserve"> ورفع التصنيف العالمي للجامعة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  <w:tr w:rsidR="006252ED" w:rsidRPr="00FD5FC8" w:rsidTr="00FD5FC8">
        <w:tc>
          <w:tcPr>
            <w:tcW w:w="119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b/>
                <w:bCs/>
                <w:rtl/>
              </w:rPr>
              <w:t>الخريجون</w:t>
            </w:r>
          </w:p>
        </w:tc>
        <w:tc>
          <w:tcPr>
            <w:tcW w:w="803" w:type="pct"/>
            <w:vAlign w:val="center"/>
          </w:tcPr>
          <w:p w:rsidR="006252ED" w:rsidRPr="00FD5FC8" w:rsidRDefault="006252ED" w:rsidP="00FD5FC8">
            <w:pPr>
              <w:bidi/>
              <w:spacing w:after="120"/>
              <w:rPr>
                <w:rFonts w:ascii="Simplified Arabic" w:hAnsi="Simplified Arabic" w:cs="Simplified Arabic"/>
              </w:rPr>
            </w:pPr>
            <w:r w:rsidRPr="00FD5FC8">
              <w:rPr>
                <w:rFonts w:ascii="Simplified Arabic" w:hAnsi="Simplified Arabic" w:cs="Simplified Arabic"/>
                <w:rtl/>
              </w:rPr>
              <w:t>مرجعيات قياس الأثر</w:t>
            </w:r>
          </w:p>
        </w:tc>
        <w:tc>
          <w:tcPr>
            <w:tcW w:w="3004" w:type="pct"/>
            <w:vAlign w:val="center"/>
          </w:tcPr>
          <w:p w:rsidR="006252ED" w:rsidRPr="00FD5FC8" w:rsidRDefault="006252ED" w:rsidP="00FD5FC8">
            <w:pPr>
              <w:pStyle w:val="ab"/>
              <w:bidi/>
              <w:spacing w:before="0" w:beforeAutospacing="0" w:after="120" w:afterAutospacing="0"/>
              <w:rPr>
                <w:rFonts w:ascii="Simplified Arabic" w:hAnsi="Simplified Arabic" w:cs="Simplified Arabic"/>
              </w:rPr>
            </w:pPr>
            <w:r w:rsidRPr="00FD5FC8">
              <w:rPr>
                <w:rStyle w:val="citation-128"/>
                <w:rFonts w:ascii="Simplified Arabic" w:hAnsi="Simplified Arabic" w:cs="Simplified Arabic"/>
                <w:rtl/>
              </w:rPr>
              <w:t xml:space="preserve">تقييم مواءمة التعليم مع الواقع </w:t>
            </w:r>
            <w:proofErr w:type="spellStart"/>
            <w:r w:rsidRPr="00FD5FC8">
              <w:rPr>
                <w:rStyle w:val="citation-128"/>
                <w:rFonts w:ascii="Simplified Arabic" w:hAnsi="Simplified Arabic" w:cs="Simplified Arabic"/>
                <w:rtl/>
              </w:rPr>
              <w:t>المهني،</w:t>
            </w:r>
            <w:proofErr w:type="spellEnd"/>
            <w:r w:rsidRPr="00FD5FC8">
              <w:rPr>
                <w:rStyle w:val="citation-128"/>
                <w:rFonts w:ascii="Simplified Arabic" w:hAnsi="Simplified Arabic" w:cs="Simplified Arabic"/>
                <w:rtl/>
              </w:rPr>
              <w:t xml:space="preserve"> والمساهمة في بناء شبكة توظيف قوية للجامعة</w:t>
            </w:r>
            <w:r w:rsidRPr="00FD5FC8">
              <w:rPr>
                <w:rFonts w:ascii="Simplified Arabic" w:hAnsi="Simplified Arabic" w:cs="Simplified Arabic"/>
              </w:rPr>
              <w:t>.</w:t>
            </w:r>
          </w:p>
        </w:tc>
      </w:tr>
    </w:tbl>
    <w:p w:rsidR="00FD2E89" w:rsidRPr="00FD5FC8" w:rsidRDefault="00FD2E89" w:rsidP="00FD5FC8">
      <w:pPr>
        <w:bidi/>
        <w:spacing w:after="120" w:line="240" w:lineRule="auto"/>
        <w:rPr>
          <w:rFonts w:ascii="Simplified Arabic" w:hAnsi="Simplified Arabic" w:cs="Simplified Arabic"/>
          <w:lang w:val="en-GB" w:bidi="ar-JO"/>
        </w:rPr>
      </w:pPr>
    </w:p>
    <w:sectPr w:rsidR="00FD2E89" w:rsidRPr="00FD5FC8" w:rsidSect="002D4D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3D2C5F"/>
    <w:rsid w:val="002D4D89"/>
    <w:rsid w:val="003411C6"/>
    <w:rsid w:val="00392260"/>
    <w:rsid w:val="003D2C5F"/>
    <w:rsid w:val="0043396F"/>
    <w:rsid w:val="00572B53"/>
    <w:rsid w:val="00596D24"/>
    <w:rsid w:val="005D18D6"/>
    <w:rsid w:val="006252ED"/>
    <w:rsid w:val="006334E8"/>
    <w:rsid w:val="00673810"/>
    <w:rsid w:val="006A2A80"/>
    <w:rsid w:val="008F26B3"/>
    <w:rsid w:val="0094197A"/>
    <w:rsid w:val="00D07682"/>
    <w:rsid w:val="00DE6528"/>
    <w:rsid w:val="00F65208"/>
    <w:rsid w:val="00FC4A79"/>
    <w:rsid w:val="00FD2E89"/>
    <w:rsid w:val="00FD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89"/>
  </w:style>
  <w:style w:type="paragraph" w:styleId="1">
    <w:name w:val="heading 1"/>
    <w:basedOn w:val="a"/>
    <w:next w:val="a"/>
    <w:link w:val="1Char"/>
    <w:uiPriority w:val="9"/>
    <w:qFormat/>
    <w:rsid w:val="003D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D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2C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2C5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2C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2C5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2C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2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2C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2C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2C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2C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2C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2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D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customStyle="1" w:styleId="citation-146">
    <w:name w:val="citation-146"/>
    <w:basedOn w:val="a0"/>
    <w:rsid w:val="00FD2E89"/>
  </w:style>
  <w:style w:type="character" w:styleId="ac">
    <w:name w:val="Strong"/>
    <w:basedOn w:val="a0"/>
    <w:uiPriority w:val="22"/>
    <w:qFormat/>
    <w:rsid w:val="00FD2E89"/>
    <w:rPr>
      <w:b/>
      <w:bCs/>
    </w:rPr>
  </w:style>
  <w:style w:type="character" w:customStyle="1" w:styleId="citation-145">
    <w:name w:val="citation-145"/>
    <w:basedOn w:val="a0"/>
    <w:rsid w:val="00FD2E89"/>
  </w:style>
  <w:style w:type="character" w:customStyle="1" w:styleId="citation-144">
    <w:name w:val="citation-144"/>
    <w:basedOn w:val="a0"/>
    <w:rsid w:val="00FD2E89"/>
  </w:style>
  <w:style w:type="character" w:customStyle="1" w:styleId="citation-143">
    <w:name w:val="citation-143"/>
    <w:basedOn w:val="a0"/>
    <w:rsid w:val="00FD2E89"/>
  </w:style>
  <w:style w:type="character" w:customStyle="1" w:styleId="citation-142">
    <w:name w:val="citation-142"/>
    <w:basedOn w:val="a0"/>
    <w:rsid w:val="00FD2E89"/>
  </w:style>
  <w:style w:type="character" w:customStyle="1" w:styleId="citation-141">
    <w:name w:val="citation-141"/>
    <w:basedOn w:val="a0"/>
    <w:rsid w:val="00FD2E89"/>
  </w:style>
  <w:style w:type="character" w:customStyle="1" w:styleId="citation-140">
    <w:name w:val="citation-140"/>
    <w:basedOn w:val="a0"/>
    <w:rsid w:val="00FD2E89"/>
  </w:style>
  <w:style w:type="character" w:customStyle="1" w:styleId="citation-139">
    <w:name w:val="citation-139"/>
    <w:basedOn w:val="a0"/>
    <w:rsid w:val="00FD2E89"/>
  </w:style>
  <w:style w:type="character" w:customStyle="1" w:styleId="citation-138">
    <w:name w:val="citation-138"/>
    <w:basedOn w:val="a0"/>
    <w:rsid w:val="00FD2E89"/>
  </w:style>
  <w:style w:type="character" w:customStyle="1" w:styleId="citation-137">
    <w:name w:val="citation-137"/>
    <w:basedOn w:val="a0"/>
    <w:rsid w:val="00FD2E89"/>
  </w:style>
  <w:style w:type="character" w:customStyle="1" w:styleId="citation-136">
    <w:name w:val="citation-136"/>
    <w:basedOn w:val="a0"/>
    <w:rsid w:val="00FD2E89"/>
  </w:style>
  <w:style w:type="character" w:customStyle="1" w:styleId="citation-135">
    <w:name w:val="citation-135"/>
    <w:basedOn w:val="a0"/>
    <w:rsid w:val="00FD2E89"/>
  </w:style>
  <w:style w:type="character" w:customStyle="1" w:styleId="citation-134">
    <w:name w:val="citation-134"/>
    <w:basedOn w:val="a0"/>
    <w:rsid w:val="00FD2E89"/>
  </w:style>
  <w:style w:type="character" w:customStyle="1" w:styleId="citation-133">
    <w:name w:val="citation-133"/>
    <w:basedOn w:val="a0"/>
    <w:rsid w:val="00FD2E89"/>
  </w:style>
  <w:style w:type="character" w:customStyle="1" w:styleId="citation-132">
    <w:name w:val="citation-132"/>
    <w:basedOn w:val="a0"/>
    <w:rsid w:val="00FD2E89"/>
  </w:style>
  <w:style w:type="character" w:customStyle="1" w:styleId="citation-131">
    <w:name w:val="citation-131"/>
    <w:basedOn w:val="a0"/>
    <w:rsid w:val="00FD2E89"/>
  </w:style>
  <w:style w:type="character" w:customStyle="1" w:styleId="citation-130">
    <w:name w:val="citation-130"/>
    <w:basedOn w:val="a0"/>
    <w:rsid w:val="00FD2E89"/>
  </w:style>
  <w:style w:type="character" w:customStyle="1" w:styleId="citation-129">
    <w:name w:val="citation-129"/>
    <w:basedOn w:val="a0"/>
    <w:rsid w:val="00FD2E89"/>
  </w:style>
  <w:style w:type="character" w:customStyle="1" w:styleId="citation-128">
    <w:name w:val="citation-128"/>
    <w:basedOn w:val="a0"/>
    <w:rsid w:val="00FD2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    ولاً: مصفوفة أصحاب العلاقة الداخليين (المحرك العملياتي)</vt:lpstr>
      <vt:lpstr>        ثانياً: مصفوفة أصحاب العلاقة الخارجيين (علاقات الارتباط والامتثال)</vt:lpstr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Nimat</dc:creator>
  <cp:lastModifiedBy>admin</cp:lastModifiedBy>
  <cp:revision>2</cp:revision>
  <dcterms:created xsi:type="dcterms:W3CDTF">2026-02-02T08:50:00Z</dcterms:created>
  <dcterms:modified xsi:type="dcterms:W3CDTF">2026-02-02T08:50:00Z</dcterms:modified>
</cp:coreProperties>
</file>